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0"/>
        <w:ind w:hanging="0" w:left="0" w:right="0"/>
        <w:rPr>
          <w:rFonts w:cs="Aptos"/>
          <w:b/>
          <w:bCs/>
          <w:sz w:val="24"/>
          <w:szCs w:val="24"/>
        </w:rPr>
      </w:pPr>
      <w:bookmarkStart w:id="0" w:name="_Hlk93398369_kopia_1_kopia_1"/>
      <w:r>
        <w:rPr>
          <w:rFonts w:cs="Aptos"/>
          <w:b/>
          <w:bCs/>
          <w:sz w:val="24"/>
          <w:szCs w:val="24"/>
        </w:rPr>
        <w:t xml:space="preserve">Załącznik nr </w:t>
      </w:r>
      <w:r>
        <w:rPr>
          <w:rFonts w:cs="Aptos"/>
          <w:b/>
          <w:bCs/>
          <w:sz w:val="24"/>
          <w:szCs w:val="24"/>
        </w:rPr>
        <w:t>6</w:t>
      </w:r>
      <w:r>
        <w:rPr>
          <w:rFonts w:cs="Aptos"/>
          <w:b/>
          <w:bCs/>
          <w:sz w:val="24"/>
          <w:szCs w:val="24"/>
        </w:rPr>
        <w:t xml:space="preserve"> do SWZ</w:t>
      </w:r>
    </w:p>
    <w:p>
      <w:pPr>
        <w:pStyle w:val="Normal"/>
        <w:bidi w:val="0"/>
        <w:spacing w:lineRule="auto" w:line="276" w:before="240" w:after="0"/>
        <w:ind w:hanging="0" w:left="0" w:right="0"/>
        <w:rPr>
          <w:rFonts w:cs="Aptos"/>
          <w:b/>
          <w:bCs/>
          <w:sz w:val="24"/>
          <w:szCs w:val="24"/>
        </w:rPr>
      </w:pPr>
      <w:r>
        <w:rPr>
          <w:rFonts w:cs="Aptos"/>
          <w:b/>
          <w:bCs/>
          <w:sz w:val="24"/>
          <w:szCs w:val="24"/>
        </w:rPr>
        <w:t xml:space="preserve">Wzór zobowiązania podmiotów trzecich do oddania do dyspozycji Wykonawcy niezbędnych zasobów na potrzeby korzystania z nich przy wykonywaniu zamówienia </w:t>
        <w:br/>
        <w:t>w postępowaniu o udzielenie zamówienia publicznego na:</w:t>
      </w:r>
    </w:p>
    <w:tbl>
      <w:tblPr>
        <w:tblW w:w="9062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rPr/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eastAsia="Times New Roman" w:cs="Arial"/>
                <w:b/>
                <w:bCs/>
                <w:color w:val="auto"/>
                <w:sz w:val="26"/>
                <w:szCs w:val="26"/>
                <w:lang w:eastAsia="pl-PL"/>
              </w:rPr>
              <w:t>„</w:t>
            </w:r>
            <w:r>
              <w:rPr>
                <w:rFonts w:eastAsia="Times New Roman" w:cs="Arial"/>
                <w:b/>
                <w:bCs/>
                <w:color w:val="auto"/>
                <w:sz w:val="26"/>
                <w:szCs w:val="26"/>
                <w:lang w:eastAsia="pl-PL"/>
              </w:rPr>
              <w:t>Zapewnienie cateringu dla 28 osób w ramach projektu ,,Dzienny Dom Pomocy Społecznej dla Seniorów z Gminy Trzebinia”</w:t>
            </w:r>
            <w:r>
              <w:rPr>
                <w:rFonts w:eastAsia="Times New Roman" w:cs="Arial"/>
                <w:b w:val="false"/>
                <w:bCs w:val="false"/>
                <w:color w:val="auto"/>
                <w:sz w:val="26"/>
                <w:szCs w:val="26"/>
                <w:lang w:eastAsia="pl-PL"/>
              </w:rPr>
              <w:t xml:space="preserve"> realizowany przez Stowarzyszenie Proobronno-Oświatowe "KADET" w ramach programu Fundusze Europejskie dla Małopolski 2021-2027, Priorytet 8. Fundusze europejskie dla sprawiedliwej transformacji Małopolski Zachodniej, Działanie 8.6 Opieka nad osobami potrzebującymi wsparcia w codziennym funkcjonowaniu</w:t>
            </w:r>
            <w:r>
              <w:rPr>
                <w:rFonts w:eastAsia="Times New Roman" w:cs="Calibri" w:cstheme="minorHAns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.</w:t>
            </w:r>
          </w:p>
        </w:tc>
      </w:tr>
    </w:tbl>
    <w:p>
      <w:pPr>
        <w:pStyle w:val="Normal"/>
        <w:widowControl w:val="false"/>
        <w:bidi w:val="0"/>
        <w:spacing w:lineRule="auto" w:line="276" w:before="0" w:after="0"/>
        <w:ind w:hanging="0" w:left="0" w:right="0"/>
        <w:rPr>
          <w:rFonts w:cs="Aptos"/>
          <w:bCs/>
          <w:sz w:val="24"/>
          <w:szCs w:val="24"/>
        </w:rPr>
      </w:pPr>
      <w:r>
        <w:rPr>
          <w:rFonts w:cs="Aptos"/>
          <w:bCs/>
          <w:sz w:val="24"/>
          <w:szCs w:val="24"/>
        </w:rPr>
      </w:r>
    </w:p>
    <w:p>
      <w:pPr>
        <w:pStyle w:val="Normal"/>
        <w:widowControl w:val="false"/>
        <w:bidi w:val="0"/>
        <w:spacing w:lineRule="auto" w:line="276" w:before="0" w:after="0"/>
        <w:ind w:hanging="0" w:left="0" w:right="0"/>
        <w:rPr>
          <w:rFonts w:cs="Aptos"/>
          <w:bCs/>
          <w:sz w:val="24"/>
          <w:szCs w:val="24"/>
        </w:rPr>
      </w:pPr>
      <w:r>
        <w:rPr>
          <w:rFonts w:cs="Aptos"/>
          <w:bCs/>
          <w:sz w:val="24"/>
          <w:szCs w:val="24"/>
        </w:rPr>
        <w:t>Działając w imieniu:</w:t>
      </w:r>
    </w:p>
    <w:tbl>
      <w:tblPr>
        <w:tblW w:w="2972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</w:tblGrid>
      <w:tr>
        <w:trPr/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 w:before="0" w:after="0"/>
              <w:ind w:hanging="0" w:left="0" w:right="0"/>
              <w:rPr>
                <w:rFonts w:cs="Aptos"/>
                <w:bCs/>
                <w:sz w:val="24"/>
                <w:szCs w:val="24"/>
              </w:rPr>
            </w:pPr>
            <w:r>
              <w:rPr>
                <w:rFonts w:cs="Aptos"/>
                <w:bCs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bidi w:val="0"/>
        <w:spacing w:lineRule="auto" w:line="276" w:before="0" w:after="0"/>
        <w:ind w:hanging="0" w:left="0" w:right="0"/>
        <w:rPr>
          <w:rFonts w:cs="Aptos"/>
          <w:bCs/>
          <w:sz w:val="24"/>
          <w:szCs w:val="24"/>
        </w:rPr>
      </w:pPr>
      <w:r>
        <w:rPr>
          <w:rFonts w:cs="Aptos"/>
          <w:bCs/>
          <w:sz w:val="24"/>
          <w:szCs w:val="24"/>
        </w:rPr>
        <w:t>zobowiązuje się do oddania do dyspozycji dla Wykonawcy :</w:t>
      </w:r>
    </w:p>
    <w:tbl>
      <w:tblPr>
        <w:tblW w:w="339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</w:tblGrid>
      <w:tr>
        <w:trPr/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 w:before="0" w:after="0"/>
              <w:ind w:hanging="0" w:left="0" w:right="0"/>
              <w:rPr>
                <w:rFonts w:cs="Aptos"/>
                <w:bCs/>
                <w:sz w:val="24"/>
                <w:szCs w:val="24"/>
              </w:rPr>
            </w:pPr>
            <w:r>
              <w:rPr>
                <w:rFonts w:cs="Aptos"/>
                <w:bCs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bidi w:val="0"/>
        <w:spacing w:lineRule="auto" w:line="276" w:before="0" w:after="0"/>
        <w:ind w:hanging="0" w:left="0" w:right="0"/>
        <w:rPr>
          <w:rFonts w:cs="Aptos"/>
          <w:bCs/>
          <w:sz w:val="24"/>
          <w:szCs w:val="24"/>
        </w:rPr>
      </w:pPr>
      <w:r>
        <w:rPr>
          <w:rFonts w:cs="Aptos"/>
          <w:bCs/>
          <w:sz w:val="24"/>
          <w:szCs w:val="24"/>
        </w:rPr>
        <w:t>biorącego udział w przedmiotowym postępowaniu swoich zasobów zgodnie z treścią art. 118 ust. 1 ustawy PZP, na następujących zasadach:</w:t>
      </w:r>
    </w:p>
    <w:p>
      <w:pPr>
        <w:pStyle w:val="Normal"/>
        <w:widowControl w:val="false"/>
        <w:bidi w:val="0"/>
        <w:spacing w:lineRule="auto" w:line="276" w:before="240" w:after="0"/>
        <w:ind w:hanging="0" w:left="0" w:right="0"/>
        <w:rPr>
          <w:rFonts w:cs="Aptos"/>
          <w:bCs/>
          <w:sz w:val="24"/>
          <w:szCs w:val="24"/>
        </w:rPr>
      </w:pPr>
      <w:r>
        <w:rPr>
          <w:rFonts w:cs="Aptos"/>
          <w:bCs/>
          <w:sz w:val="24"/>
          <w:szCs w:val="24"/>
        </w:rPr>
        <w:t>1. Zakres dostępnych Wykonawcy zasobów innego podmiotu:</w:t>
      </w:r>
    </w:p>
    <w:tbl>
      <w:tblPr>
        <w:tblW w:w="8988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8"/>
      </w:tblGrid>
      <w:tr>
        <w:trPr>
          <w:trHeight w:val="308" w:hRule="atLeast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 w:before="240" w:after="0"/>
              <w:ind w:hanging="0" w:left="0" w:right="0"/>
              <w:rPr/>
            </w:pPr>
            <w:r>
              <w:rPr/>
            </w:r>
            <w:bookmarkStart w:id="1" w:name="_Hlk93398369"/>
            <w:bookmarkStart w:id="2" w:name="_Hlk93398369"/>
            <w:bookmarkEnd w:id="2"/>
          </w:p>
        </w:tc>
      </w:tr>
    </w:tbl>
    <w:p>
      <w:pPr>
        <w:pStyle w:val="Normal"/>
        <w:widowControl w:val="false"/>
        <w:bidi w:val="0"/>
        <w:spacing w:lineRule="auto" w:line="276" w:before="240" w:after="0"/>
        <w:ind w:hanging="0" w:left="0" w:right="0"/>
        <w:rPr>
          <w:rFonts w:cs="Aptos"/>
          <w:bCs/>
          <w:sz w:val="24"/>
          <w:szCs w:val="24"/>
        </w:rPr>
      </w:pPr>
      <w:bookmarkStart w:id="3" w:name="_Hlk93398369_kopia_1"/>
      <w:bookmarkEnd w:id="3"/>
      <w:r>
        <w:rPr>
          <w:rFonts w:cs="Aptos"/>
          <w:bCs/>
          <w:sz w:val="24"/>
          <w:szCs w:val="24"/>
        </w:rPr>
        <w:t xml:space="preserve">2. Sposób wykorzystania zasobów innego podmiotu, przez Wykonawcę przy wykonywaniu zamówienia publicznego: </w:t>
      </w:r>
    </w:p>
    <w:tbl>
      <w:tblPr>
        <w:tblW w:w="8988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8"/>
      </w:tblGrid>
      <w:tr>
        <w:trPr>
          <w:trHeight w:val="308" w:hRule="atLeast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240" w:after="0"/>
              <w:ind w:hanging="0" w:left="0" w:right="0"/>
              <w:rPr>
                <w:rFonts w:cs="Aptos"/>
                <w:bCs/>
                <w:sz w:val="24"/>
                <w:szCs w:val="24"/>
              </w:rPr>
            </w:pPr>
            <w:r>
              <w:rPr>
                <w:rFonts w:cs="Aptos"/>
                <w:bCs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bidi w:val="0"/>
        <w:spacing w:lineRule="auto" w:line="276" w:before="240" w:after="0"/>
        <w:ind w:hanging="0" w:left="0" w:right="0"/>
        <w:rPr>
          <w:rFonts w:cs="Aptos"/>
          <w:bCs/>
          <w:sz w:val="24"/>
          <w:szCs w:val="24"/>
        </w:rPr>
      </w:pPr>
      <w:r>
        <w:rPr>
          <w:rFonts w:cs="Aptos"/>
          <w:bCs/>
          <w:sz w:val="24"/>
          <w:szCs w:val="24"/>
        </w:rPr>
        <w:t xml:space="preserve">3. Zakres i okres udziału innego podmiotu przy wykonywaniu zamówienia publicznego: </w:t>
      </w:r>
    </w:p>
    <w:tbl>
      <w:tblPr>
        <w:tblW w:w="8988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8"/>
      </w:tblGrid>
      <w:tr>
        <w:trPr>
          <w:trHeight w:val="308" w:hRule="atLeast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240" w:after="0"/>
              <w:ind w:hanging="0" w:left="0" w:right="0"/>
              <w:rPr>
                <w:rFonts w:cs="Aptos"/>
                <w:bCs/>
                <w:sz w:val="24"/>
                <w:szCs w:val="24"/>
              </w:rPr>
            </w:pPr>
            <w:r>
              <w:rPr>
                <w:rFonts w:cs="Aptos"/>
                <w:bCs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bidi w:val="0"/>
        <w:spacing w:lineRule="auto" w:line="276" w:before="240" w:after="0"/>
        <w:ind w:hanging="0" w:left="0" w:right="0"/>
        <w:rPr>
          <w:rFonts w:cs="Aptos"/>
          <w:bCs/>
          <w:sz w:val="24"/>
          <w:szCs w:val="24"/>
        </w:rPr>
      </w:pPr>
      <w:r>
        <w:rPr>
          <w:rFonts w:cs="Aptos"/>
          <w:bCs/>
          <w:sz w:val="24"/>
          <w:szCs w:val="24"/>
        </w:rPr>
        <w:t>4.Czy podmiot, na zdolnością którego Wykonawca polega w odniesieniu do warunków udziału w postępowaniu dotyczących wykształcenia, kwalifikacji zawodowych lub doświadczenia, zrealizuje usługi, których wskazane zdolności dotyczą:</w:t>
      </w:r>
    </w:p>
    <w:tbl>
      <w:tblPr>
        <w:tblW w:w="8988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8"/>
      </w:tblGrid>
      <w:tr>
        <w:trPr>
          <w:trHeight w:val="308" w:hRule="atLeast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240" w:after="0"/>
              <w:ind w:hanging="0" w:left="0" w:right="0"/>
              <w:rPr>
                <w:rFonts w:cs="Aptos"/>
                <w:bCs/>
                <w:sz w:val="24"/>
                <w:szCs w:val="24"/>
              </w:rPr>
            </w:pPr>
            <w:r>
              <w:rPr>
                <w:rFonts w:cs="Aptos"/>
                <w:bCs/>
                <w:sz w:val="24"/>
                <w:szCs w:val="24"/>
              </w:rPr>
            </w:r>
          </w:p>
        </w:tc>
      </w:tr>
    </w:tbl>
    <w:p>
      <w:pPr>
        <w:pStyle w:val="Normal"/>
        <w:bidi w:val="0"/>
        <w:spacing w:lineRule="auto" w:line="256" w:before="240" w:after="0"/>
        <w:ind w:hanging="0" w:left="0" w:right="0"/>
        <w:rPr>
          <w:rFonts w:cs="Aptos"/>
          <w:i/>
          <w:i/>
          <w:sz w:val="24"/>
          <w:szCs w:val="24"/>
          <w:lang w:eastAsia="pl-PL"/>
        </w:rPr>
      </w:pPr>
      <w:r>
        <w:rPr>
          <w:rFonts w:cs="Aptos"/>
          <w:i/>
          <w:sz w:val="24"/>
          <w:szCs w:val="24"/>
          <w:lang w:eastAsia="pl-PL"/>
        </w:rPr>
        <w:t xml:space="preserve">Dokument należy podpisać kwalifikowanym  podpisem  elektronicznym lub podpisem zaufania lub podpisem osobistym osób uprawnionych do reprezentowania Wykonawcy </w:t>
      </w:r>
    </w:p>
    <w:p>
      <w:pPr>
        <w:pStyle w:val="Normal"/>
        <w:bidi w:val="0"/>
        <w:spacing w:lineRule="auto" w:line="256"/>
        <w:ind w:hanging="0" w:left="0" w:right="0"/>
        <w:rPr>
          <w:rFonts w:cs="Aptos"/>
          <w:sz w:val="24"/>
          <w:szCs w:val="24"/>
        </w:rPr>
      </w:pPr>
      <w:r>
        <w:rPr>
          <w:rFonts w:cs="Aptos"/>
          <w:sz w:val="24"/>
          <w:szCs w:val="24"/>
        </w:rPr>
      </w:r>
    </w:p>
    <w:p>
      <w:pPr>
        <w:pStyle w:val="Normal"/>
        <w:bidi w:val="0"/>
        <w:spacing w:lineRule="auto" w:line="256"/>
        <w:ind w:hanging="0" w:left="0" w:right="0"/>
        <w:rPr>
          <w:rFonts w:cs="Aptos"/>
          <w:sz w:val="24"/>
          <w:szCs w:val="24"/>
        </w:rPr>
      </w:pPr>
      <w:r>
        <w:rPr>
          <w:rFonts w:cs="Aptos"/>
          <w:b/>
          <w:i/>
          <w:sz w:val="24"/>
          <w:szCs w:val="24"/>
          <w:lang w:eastAsia="pl-PL"/>
        </w:rPr>
        <w:t>* Ni</w:t>
      </w:r>
      <w:r>
        <w:rPr>
          <w:rFonts w:cs="Aptos"/>
          <w:b/>
          <w:i/>
          <w:iCs/>
          <w:sz w:val="24"/>
          <w:szCs w:val="24"/>
          <w:lang w:eastAsia="pl-PL"/>
        </w:rPr>
        <w:t>epotrzebne skreślić lub pominąć</w:t>
      </w:r>
      <w:bookmarkEnd w:id="0"/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085" cy="494030"/>
          <wp:effectExtent l="0" t="0" r="0" b="0"/>
          <wp:docPr id="1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085" cy="494030"/>
          <wp:effectExtent l="0" t="0" r="0" b="0"/>
          <wp:docPr id="2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b33a0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4e1bba"/>
    <w:rPr>
      <w:b/>
      <w:bCs/>
    </w:rPr>
  </w:style>
  <w:style w:type="character" w:styleId="apple-converted-space" w:customStyle="1">
    <w:name w:val="apple-converted-space"/>
    <w:basedOn w:val="DefaultParagraphFont"/>
    <w:qFormat/>
    <w:rsid w:val="004e1bba"/>
    <w:rPr/>
  </w:style>
  <w:style w:type="character" w:styleId="NagwekZnak" w:customStyle="1">
    <w:name w:val="Nagłówek Znak"/>
    <w:basedOn w:val="DefaultParagraphFont"/>
    <w:uiPriority w:val="99"/>
    <w:qFormat/>
    <w:rsid w:val="004e1bba"/>
    <w:rPr/>
  </w:style>
  <w:style w:type="character" w:styleId="StopkaZnak" w:customStyle="1">
    <w:name w:val="Stopka Znak"/>
    <w:basedOn w:val="DefaultParagraphFont"/>
    <w:uiPriority w:val="99"/>
    <w:qFormat/>
    <w:rsid w:val="004e1bba"/>
    <w:rPr/>
  </w:style>
  <w:style w:type="character" w:styleId="InternetLink">
    <w:name w:val="Internet Link"/>
    <w:basedOn w:val="DefaultParagraphFont"/>
    <w:uiPriority w:val="99"/>
    <w:semiHidden/>
    <w:unhideWhenUsed/>
    <w:qFormat/>
    <w:rsid w:val="00592e9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92e9f"/>
    <w:rPr>
      <w:i/>
      <w:iCs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f73d54"/>
    <w:rPr>
      <w:sz w:val="20"/>
      <w:szCs w:val="20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4e1bba"/>
    <w:pPr>
      <w:spacing w:beforeAutospacing="1" w:afterAutospacing="1"/>
    </w:pPr>
    <w:rPr>
      <w:rFonts w:ascii="Times New Roman" w:hAnsi="Times New Roman" w:eastAsia="Times New Roman" w:cs="Times New Roman"/>
      <w:lang w:eastAsia="pl-P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4e1b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nhideWhenUsed/>
    <w:rsid w:val="004e1b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811f17"/>
    <w:pPr>
      <w:spacing w:before="0" w:after="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f73d54"/>
    <w:pPr/>
    <w:rPr>
      <w:sz w:val="20"/>
      <w:szCs w:val="20"/>
    </w:rPr>
  </w:style>
  <w:style w:type="paragraph" w:styleId="NoSpacing">
    <w:name w:val="No Spacing"/>
    <w:uiPriority w:val="1"/>
    <w:qFormat/>
    <w:rsid w:val="00bb543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Default" w:customStyle="1">
    <w:name w:val="Default"/>
    <w:qFormat/>
    <w:rsid w:val="0077568b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FootnoteText">
    <w:name w:val="footnote text"/>
    <w:basedOn w:val="Normal"/>
    <w:pPr>
      <w:widowControl/>
      <w:jc w:val="left"/>
      <w:textAlignment w:val="auto"/>
    </w:pPr>
    <w:rPr>
      <w:rFonts w:ascii="Tahoma" w:hAnsi="Tahoma" w:cs="Times New Roman"/>
      <w:sz w:val="20"/>
      <w:szCs w:val="20"/>
      <w:lang w:val="pl-PL" w:eastAsia="pl-PL" w:bidi="ar-SA"/>
    </w:rPr>
  </w:style>
  <w:style w:type="paragraph" w:styleId="BodyTextIndent2">
    <w:name w:val="Body Text Indent 2"/>
    <w:basedOn w:val="Normal"/>
    <w:qFormat/>
    <w:pPr>
      <w:widowControl/>
      <w:spacing w:lineRule="auto" w:line="480" w:before="0" w:after="120"/>
      <w:ind w:left="283"/>
      <w:jc w:val="left"/>
      <w:textAlignment w:val="auto"/>
    </w:pPr>
    <w:rPr>
      <w:rFonts w:cs="Times New Roman"/>
      <w:sz w:val="24"/>
      <w:szCs w:val="24"/>
      <w:lang w:val="pl-PL" w:eastAsia="pl-PL" w:bidi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A7590-0652-423E-84E1-B7A31573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LibreOffice/24.8.2.1$Windows_X86_64 LibreOffice_project/0f794b6e29741098670a3b95d60478a65d05ef13</Application>
  <AppVersion>15.0000</AppVersion>
  <Pages>1</Pages>
  <Words>189</Words>
  <Characters>1335</Characters>
  <CharactersWithSpaces>1518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2025-01-09T09:58:00Z</dcterms:created>
  <dc:creator>Arkadiusz Dudek</dc:creator>
  <dc:description/>
  <dc:language>pl-PL</dc:language>
  <cp:lastModifiedBy/>
  <dcterms:modified xsi:type="dcterms:W3CDTF">2025-10-19T22:47:47Z</dcterms:modified>
  <cp:revision>18</cp:revision>
  <dc:subject/>
  <dc:title>Formularz ofertowy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